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Hampshire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Hampshire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Hampshire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Hampshire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Hampshire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Hampshire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East Hampshire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Hampshire is estimated to be </w:t>
      </w:r>
      <w:r w:rsidRPr="00773DF7">
        <w:rPr>
          <w:rFonts w:ascii="Libre Franklin Light" w:eastAsia="Times New Roman" w:hAnsi="Libre Franklin Light" w:cs="Calibri Light"/>
          <w:b/>
          <w:bCs/>
          <w:color w:val="C45911" w:themeColor="accent2" w:themeShade="BF"/>
        </w:rPr>
        <w:t xml:space="preserve">£839,187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Hampshire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Hampshire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Hampshire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Hampshire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Hamp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Hampshire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Hamp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Hampshire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Hampshire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Hamp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Hampshire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Hampshire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Hampshire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Hampshire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Hampshire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Hampshire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£839,187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Hampshire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£13,669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£282,682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£20,250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£5,695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£506,449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£839,187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Hampshire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Hampshire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Hampshire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Hampshire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Hampshire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Hampshire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Hampshire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Hampshire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Hampshire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Hampshire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Hampshire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Hampshire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1AED998-0787-413B-A18E-A3C90F41D14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